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lang w:val="en-CA"/>
        </w:rPr>
      </w:pPr>
      <w:r>
        <w:rPr>
          <w:rFonts w:hint="default" w:ascii="Times New Roman" w:hAnsi="Times New Roman" w:eastAsia="宋体" w:cs="Times New Roman"/>
          <w:lang w:val="en-CA"/>
        </w:rPr>
        <w:t>Perspective</w:t>
      </w:r>
    </w:p>
    <w:p>
      <w:pPr>
        <w:rPr>
          <w:rFonts w:hint="default" w:ascii="Times New Roman" w:hAnsi="Times New Roman" w:eastAsia="宋体" w:cs="Times New Roman"/>
          <w:lang w:val="en-CA"/>
        </w:rPr>
      </w:pPr>
    </w:p>
    <w:p>
      <w:pPr>
        <w:rPr>
          <w:rFonts w:hint="default" w:ascii="Times New Roman" w:hAnsi="Times New Roman" w:eastAsia="宋体" w:cs="Times New Roman"/>
          <w:b/>
          <w:bCs/>
          <w:sz w:val="32"/>
          <w:szCs w:val="32"/>
          <w:lang w:val="en-CA"/>
        </w:rPr>
      </w:pPr>
      <w:r>
        <w:rPr>
          <w:rFonts w:hint="default" w:ascii="Times New Roman" w:hAnsi="Times New Roman" w:eastAsia="宋体" w:cs="Times New Roman"/>
          <w:b/>
          <w:bCs/>
          <w:sz w:val="32"/>
          <w:szCs w:val="32"/>
          <w:lang w:val="en-CA"/>
        </w:rPr>
        <w:t>Harnessing AI for Revolutionary Advances in Medicine Design</w:t>
      </w:r>
    </w:p>
    <w:p>
      <w:pPr>
        <w:rPr>
          <w:rFonts w:hint="default" w:ascii="Times New Roman" w:hAnsi="Times New Roman" w:eastAsia="宋体" w:cs="Times New Roman"/>
          <w:lang w:val="en-CA"/>
        </w:rPr>
      </w:pPr>
    </w:p>
    <w:p>
      <w:pPr>
        <w:rPr>
          <w:rFonts w:hint="default" w:ascii="Times New Roman" w:hAnsi="Times New Roman" w:eastAsia="宋体" w:cs="Times New Roman"/>
          <w:sz w:val="21"/>
          <w:szCs w:val="21"/>
          <w:lang w:val="en-CA"/>
        </w:rPr>
      </w:pPr>
      <w:r>
        <w:rPr>
          <w:rFonts w:hint="default" w:ascii="Times New Roman" w:hAnsi="Times New Roman" w:eastAsia="宋体" w:cs="Times New Roman"/>
          <w:sz w:val="21"/>
          <w:szCs w:val="21"/>
          <w:lang w:val="en-CA"/>
        </w:rPr>
        <w:t>Jim Mason</w:t>
      </w:r>
    </w:p>
    <w:p>
      <w:pPr>
        <w:rPr>
          <w:rFonts w:hint="default" w:ascii="Times New Roman" w:hAnsi="Times New Roman" w:eastAsia="宋体" w:cs="Times New Roman"/>
          <w:sz w:val="18"/>
          <w:szCs w:val="18"/>
          <w:lang w:val="en-CA"/>
        </w:rPr>
      </w:pPr>
      <w:r>
        <w:rPr>
          <w:rFonts w:hint="default" w:ascii="Times New Roman" w:hAnsi="Times New Roman" w:eastAsia="宋体" w:cs="Times New Roman"/>
          <w:sz w:val="18"/>
          <w:szCs w:val="18"/>
          <w:lang w:val="en-CA"/>
        </w:rPr>
        <w:t>The MedSci Publisher of Sophia Publishing Plateform</w:t>
      </w:r>
    </w:p>
    <w:p>
      <w:pPr>
        <w:rPr>
          <w:rFonts w:hint="default" w:ascii="Times New Roman" w:hAnsi="Times New Roman" w:eastAsia="宋体" w:cs="Times New Roman"/>
          <w:sz w:val="18"/>
          <w:szCs w:val="18"/>
          <w:lang w:val="en-CA"/>
        </w:rPr>
      </w:pPr>
    </w:p>
    <w:p>
      <w:pPr>
        <w:rPr>
          <w:rFonts w:hint="default" w:ascii="Times New Roman" w:hAnsi="Times New Roman" w:eastAsia="宋体" w:cs="Times New Roman"/>
          <w:sz w:val="21"/>
          <w:szCs w:val="21"/>
          <w:lang w:val="en-CA"/>
        </w:rPr>
      </w:pPr>
      <w:r>
        <w:rPr>
          <w:rFonts w:ascii="Times New Roman" w:hAnsi="Times New Roman" w:eastAsia="宋体" w:cs="Times New Roman"/>
          <w:b/>
          <w:bCs/>
          <w:sz w:val="21"/>
          <w:szCs w:val="21"/>
        </w:rPr>
        <w:t>Abstract　</w:t>
      </w:r>
      <w:r>
        <w:rPr>
          <w:rFonts w:hint="default" w:ascii="Times New Roman" w:hAnsi="Times New Roman" w:eastAsia="宋体" w:cs="Times New Roman"/>
          <w:sz w:val="21"/>
          <w:szCs w:val="21"/>
          <w:lang w:val="en-CA"/>
        </w:rPr>
        <w:t>The integration of artificial intelligence (AI) in structural biology has revolutionized medicine design, notably through AlphaFold 3's accurate prediction of biomolecular interactions. With AI predicting over 600 million protein structures, the vast database enhances the identification of novel drug targets and optimization of therapeutic molecules. However, AI's limitations in capturing protein dynamics highlight the continued need for experimental validation. The synergy between AI's predictive power and empirical methods like cryo-EM and NMR spectroscopy fosters comprehensive drug design, accelerating the development of personalized medicine. This perspective underscores the necessity of balancing AI and experimental approaches to unlock unprecedented therapeutic innovations.</w:t>
      </w:r>
    </w:p>
    <w:p>
      <w:pPr>
        <w:rPr>
          <w:rFonts w:hint="default" w:ascii="Times New Roman" w:hAnsi="Times New Roman" w:eastAsia="宋体" w:cs="Times New Roman"/>
          <w:sz w:val="21"/>
          <w:szCs w:val="21"/>
          <w:lang w:val="en-CA"/>
        </w:rPr>
      </w:pPr>
      <w:r>
        <w:rPr>
          <w:rFonts w:hint="default" w:ascii="Times New Roman" w:hAnsi="Times New Roman" w:eastAsia="宋体" w:cs="Times New Roman"/>
          <w:b/>
          <w:bCs/>
          <w:sz w:val="21"/>
          <w:szCs w:val="21"/>
          <w:lang w:val="en-CA"/>
        </w:rPr>
        <w:t>Keywords</w:t>
      </w:r>
      <w:r>
        <w:rPr>
          <w:rFonts w:ascii="Times New Roman" w:hAnsi="Times New Roman" w:eastAsia="宋体" w:cs="Times New Roman"/>
          <w:b/>
          <w:bCs/>
          <w:sz w:val="21"/>
          <w:szCs w:val="21"/>
        </w:rPr>
        <w:t>　</w:t>
      </w:r>
      <w:r>
        <w:rPr>
          <w:rFonts w:hint="default" w:ascii="Times New Roman" w:hAnsi="Times New Roman" w:eastAsia="宋体" w:cs="Times New Roman"/>
          <w:sz w:val="21"/>
          <w:szCs w:val="21"/>
          <w:lang w:val="en-CA"/>
        </w:rPr>
        <w:t>AI</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CA"/>
        </w:rPr>
        <w:t xml:space="preserve"> AlphaFold</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CA"/>
        </w:rPr>
        <w:t xml:space="preserve"> </w:t>
      </w:r>
      <w:r>
        <w:rPr>
          <w:rFonts w:hint="eastAsia" w:ascii="Times New Roman" w:hAnsi="Times New Roman" w:eastAsia="宋体" w:cs="Times New Roman"/>
          <w:sz w:val="21"/>
          <w:szCs w:val="21"/>
          <w:lang w:val="en-US" w:eastAsia="zh-CN"/>
        </w:rPr>
        <w:t>D</w:t>
      </w:r>
      <w:r>
        <w:rPr>
          <w:rFonts w:hint="default" w:ascii="Times New Roman" w:hAnsi="Times New Roman" w:eastAsia="宋体" w:cs="Times New Roman"/>
          <w:sz w:val="21"/>
          <w:szCs w:val="21"/>
          <w:lang w:val="en-CA"/>
        </w:rPr>
        <w:t>rug discovery</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CA"/>
        </w:rPr>
        <w:t xml:space="preserve"> </w:t>
      </w:r>
      <w:r>
        <w:rPr>
          <w:rFonts w:hint="eastAsia" w:ascii="Times New Roman" w:hAnsi="Times New Roman" w:eastAsia="宋体" w:cs="Times New Roman"/>
          <w:sz w:val="21"/>
          <w:szCs w:val="21"/>
          <w:lang w:val="en-US" w:eastAsia="zh-CN"/>
        </w:rPr>
        <w:t>E</w:t>
      </w:r>
      <w:r>
        <w:rPr>
          <w:rFonts w:hint="default" w:ascii="Times New Roman" w:hAnsi="Times New Roman" w:eastAsia="宋体" w:cs="Times New Roman"/>
          <w:sz w:val="21"/>
          <w:szCs w:val="21"/>
          <w:lang w:val="en-CA"/>
        </w:rPr>
        <w:t>xperimental validation</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CA"/>
        </w:rPr>
        <w:t xml:space="preserve"> </w:t>
      </w:r>
      <w:r>
        <w:rPr>
          <w:rFonts w:hint="eastAsia" w:ascii="Times New Roman" w:hAnsi="Times New Roman" w:eastAsia="宋体" w:cs="Times New Roman"/>
          <w:sz w:val="21"/>
          <w:szCs w:val="21"/>
          <w:lang w:val="en-US" w:eastAsia="zh-CN"/>
        </w:rPr>
        <w:t>P</w:t>
      </w:r>
      <w:r>
        <w:rPr>
          <w:rFonts w:hint="default" w:ascii="Times New Roman" w:hAnsi="Times New Roman" w:eastAsia="宋体" w:cs="Times New Roman"/>
          <w:sz w:val="21"/>
          <w:szCs w:val="21"/>
          <w:lang w:val="en-CA"/>
        </w:rPr>
        <w:t>ersonalized medicine</w:t>
      </w:r>
    </w:p>
    <w:p>
      <w:pPr>
        <w:rPr>
          <w:rFonts w:hint="default" w:ascii="Times New Roman" w:hAnsi="Times New Roman" w:eastAsia="宋体" w:cs="Times New Roman"/>
          <w:sz w:val="21"/>
          <w:szCs w:val="21"/>
          <w:lang w:val="en-CA"/>
        </w:rPr>
      </w:pPr>
    </w:p>
    <w:p>
      <w:pPr>
        <w:rPr>
          <w:rFonts w:hint="default" w:ascii="Times New Roman" w:hAnsi="Times New Roman" w:eastAsia="宋体" w:cs="Times New Roman"/>
          <w:sz w:val="21"/>
          <w:szCs w:val="21"/>
          <w:lang w:val="en-CA"/>
        </w:rPr>
      </w:pPr>
      <w:r>
        <w:rPr>
          <w:rFonts w:hint="default" w:ascii="Times New Roman" w:hAnsi="Times New Roman" w:eastAsia="宋体" w:cs="Times New Roman"/>
          <w:sz w:val="21"/>
          <w:szCs w:val="21"/>
          <w:lang w:val="en-CA"/>
        </w:rPr>
        <w:t>The integration of artificial intelligence (AI) into the realm of structural biology has opened new frontiers for the design and development of medical therapeutics. The recent publication by Abramson, Adler, Dunger, et al., in Nature on May 8, 2024, underscores the potential of AlphaFold 3 to predict biomolecular interactions with unprecedented accuracy (Abramson et al., 2024). This breakthrough is not merely a technical milestone; it represents a transformative shift in how we approach drug discovery and development.</w:t>
      </w:r>
    </w:p>
    <w:p>
      <w:pPr>
        <w:rPr>
          <w:rFonts w:hint="default" w:ascii="Times New Roman" w:hAnsi="Times New Roman" w:eastAsia="宋体" w:cs="Times New Roman"/>
          <w:sz w:val="21"/>
          <w:szCs w:val="21"/>
          <w:lang w:val="en-CA"/>
        </w:rPr>
      </w:pPr>
    </w:p>
    <w:p>
      <w:pPr>
        <w:rPr>
          <w:rFonts w:hint="default" w:ascii="Times New Roman" w:hAnsi="Times New Roman" w:eastAsia="宋体" w:cs="Times New Roman"/>
          <w:sz w:val="21"/>
          <w:szCs w:val="21"/>
          <w:lang w:val="en-CA"/>
        </w:rPr>
      </w:pPr>
      <w:r>
        <w:rPr>
          <w:rFonts w:hint="default" w:ascii="Times New Roman" w:hAnsi="Times New Roman" w:eastAsia="宋体" w:cs="Times New Roman"/>
          <w:sz w:val="21"/>
          <w:szCs w:val="21"/>
          <w:lang w:val="en-CA"/>
        </w:rPr>
        <w:t>AlphaFold's ability to predict over 600 million protein structures has dramatically expanded our structural database, providing an extensive foundation for medicinal chemists and pharmacologists. As Westlake University's Professor Shi Yigong notes, "AI's rapid advancements have fundamentally altered our understanding of protein structures, offering a database that is several orders of magnitude larger than what we had before. This scale of change inevitably influences our comprehension of life sciences, drug discovery, and disease treatment" (Credit: Tai Media AGI, Video ID: sphMGEP2FvbOKcq ). The vast array of predicted structures facilitates the identification of novel drug targets and the optimization of therapeutic molecules, accelerating the transition from conceptual design to clinical application.</w:t>
      </w:r>
    </w:p>
    <w:p>
      <w:pPr>
        <w:rPr>
          <w:rFonts w:hint="default" w:ascii="Times New Roman" w:hAnsi="Times New Roman" w:eastAsia="宋体" w:cs="Times New Roman"/>
          <w:sz w:val="21"/>
          <w:szCs w:val="21"/>
          <w:lang w:val="en-CA"/>
        </w:rPr>
      </w:pPr>
    </w:p>
    <w:p>
      <w:pPr>
        <w:rPr>
          <w:rFonts w:hint="default" w:ascii="Times New Roman" w:hAnsi="Times New Roman" w:eastAsia="宋体" w:cs="Times New Roman"/>
          <w:sz w:val="21"/>
          <w:szCs w:val="21"/>
          <w:lang w:val="en-CA"/>
        </w:rPr>
      </w:pPr>
      <w:r>
        <w:rPr>
          <w:rFonts w:hint="default" w:ascii="Times New Roman" w:hAnsi="Times New Roman" w:eastAsia="宋体" w:cs="Times New Roman"/>
          <w:sz w:val="21"/>
          <w:szCs w:val="21"/>
          <w:lang w:val="en-CA"/>
        </w:rPr>
        <w:t>Despite these advancements, the process of translating AI predictions into viable medical products remains complex. Dr. Yan Ning, the current President of Shenzhen Medical Academy of Research and Translation, provides a more nuanced perspective. While recognizing AI's impressive capabilities, she emphasizes the importance of experimental validation in drug design. "AI can predict a static structure, but the true beauty and complexity of proteins lie in their dynamic states. To truly understand a protein’s function, we must observe it in various conformations, something AI currently struggles with" (Credit: Tai Media AGI, Video ID: sphMGEP2FvbOKcq ).</w:t>
      </w:r>
    </w:p>
    <w:p>
      <w:pPr>
        <w:rPr>
          <w:rFonts w:hint="default" w:ascii="Times New Roman" w:hAnsi="Times New Roman" w:eastAsia="宋体" w:cs="Times New Roman"/>
          <w:sz w:val="21"/>
          <w:szCs w:val="21"/>
          <w:lang w:val="en-CA"/>
        </w:rPr>
      </w:pPr>
    </w:p>
    <w:p>
      <w:pPr>
        <w:rPr>
          <w:rFonts w:hint="default" w:ascii="Times New Roman" w:hAnsi="Times New Roman" w:eastAsia="宋体" w:cs="Times New Roman"/>
          <w:sz w:val="21"/>
          <w:szCs w:val="21"/>
          <w:lang w:val="en-CA"/>
        </w:rPr>
      </w:pPr>
      <w:r>
        <w:rPr>
          <w:rFonts w:hint="default" w:ascii="Times New Roman" w:hAnsi="Times New Roman" w:eastAsia="宋体" w:cs="Times New Roman"/>
          <w:sz w:val="21"/>
          <w:szCs w:val="21"/>
          <w:lang w:val="en-CA"/>
        </w:rPr>
        <w:t>This sentiment highlights a crucial aspect of drug design: the need to understand the dynamic nature of target proteins. Proteins do not exist in a single, static conformation; they adopt multiple shapes that are crucial for their biological functions. Drugs designed to interact with these proteins must therefore be effective across these various states. AI's predictions, while highly accurate, often provide a snapshot rather than a full dynamic picture. Thus, combining AI's predictive power with experimental techniques such as cryo-electron microscopy (cryo-EM) and nuclear magnetic resonance (NMR) spectroscopy is essential to capture these dynamic processes.</w:t>
      </w:r>
    </w:p>
    <w:p>
      <w:pPr>
        <w:rPr>
          <w:rFonts w:hint="default" w:ascii="Times New Roman" w:hAnsi="Times New Roman" w:eastAsia="宋体" w:cs="Times New Roman"/>
          <w:sz w:val="21"/>
          <w:szCs w:val="21"/>
          <w:lang w:val="en-CA"/>
        </w:rPr>
      </w:pPr>
    </w:p>
    <w:p>
      <w:pPr>
        <w:rPr>
          <w:rFonts w:hint="default" w:ascii="Times New Roman" w:hAnsi="Times New Roman" w:eastAsia="宋体" w:cs="Times New Roman"/>
          <w:sz w:val="21"/>
          <w:szCs w:val="21"/>
          <w:lang w:val="en-CA"/>
        </w:rPr>
      </w:pPr>
      <w:r>
        <w:rPr>
          <w:rFonts w:hint="default" w:ascii="Times New Roman" w:hAnsi="Times New Roman" w:eastAsia="宋体" w:cs="Times New Roman"/>
          <w:sz w:val="21"/>
          <w:szCs w:val="21"/>
          <w:lang w:val="en-CA"/>
        </w:rPr>
        <w:t>The integration of AI into medicinal chemistry has already shown promising results. For example, the rapid identification of binding sites and the optimization of ligand interactions have significantly shortened the lead optimization phase. Additionally, AI-driven models can predict off-target effects and potential toxicity earlier in the drug development process, reducing the risk of late-stage failures. This predictive capability is particularly valuable in the context of personalized medicine, where drugs can be tailored to the genetic and molecular profiles of individual patients.</w:t>
      </w:r>
    </w:p>
    <w:p>
      <w:pPr>
        <w:rPr>
          <w:rFonts w:hint="default" w:ascii="Times New Roman" w:hAnsi="Times New Roman" w:eastAsia="宋体" w:cs="Times New Roman"/>
          <w:sz w:val="21"/>
          <w:szCs w:val="21"/>
          <w:lang w:val="en-CA"/>
        </w:rPr>
      </w:pPr>
    </w:p>
    <w:p>
      <w:pPr>
        <w:rPr>
          <w:rFonts w:hint="default" w:ascii="Times New Roman" w:hAnsi="Times New Roman" w:eastAsia="宋体" w:cs="Times New Roman"/>
          <w:sz w:val="21"/>
          <w:szCs w:val="21"/>
          <w:lang w:val="en-CA"/>
        </w:rPr>
      </w:pPr>
      <w:r>
        <w:rPr>
          <w:rFonts w:hint="default" w:ascii="Times New Roman" w:hAnsi="Times New Roman" w:eastAsia="宋体" w:cs="Times New Roman"/>
          <w:sz w:val="21"/>
          <w:szCs w:val="21"/>
          <w:lang w:val="en-CA"/>
        </w:rPr>
        <w:t>Moreover, the collaboration between computational scientists and experimental biologists is fostering innovative approaches to drug design. The synergy between AI's data-driven insights and the empirical rigor of laboratory experiments enables a more comprehensive understanding of drug-target interactions. This holistic approach not only enhances the efficacy and safety of new therapeutics but also expedites their development.</w:t>
      </w:r>
    </w:p>
    <w:p>
      <w:pPr>
        <w:rPr>
          <w:rFonts w:hint="default" w:ascii="Times New Roman" w:hAnsi="Times New Roman" w:eastAsia="宋体" w:cs="Times New Roman"/>
          <w:sz w:val="21"/>
          <w:szCs w:val="21"/>
          <w:lang w:val="en-CA"/>
        </w:rPr>
      </w:pPr>
    </w:p>
    <w:p>
      <w:pPr>
        <w:rPr>
          <w:rFonts w:hint="default" w:ascii="Times New Roman" w:hAnsi="Times New Roman" w:eastAsia="宋体" w:cs="Times New Roman"/>
          <w:sz w:val="21"/>
          <w:szCs w:val="21"/>
          <w:lang w:val="en-CA"/>
        </w:rPr>
      </w:pPr>
      <w:r>
        <w:rPr>
          <w:rFonts w:hint="default" w:ascii="Times New Roman" w:hAnsi="Times New Roman" w:eastAsia="宋体" w:cs="Times New Roman"/>
          <w:sz w:val="21"/>
          <w:szCs w:val="21"/>
          <w:lang w:val="en-CA"/>
        </w:rPr>
        <w:t>As we move forward, the focus should be on creating a seamless integration between AI predictions and experimental validation. Investment in interdisciplinary research and training is crucial to equip the next generation of scientists with the skills needed to harness both computational and experimental tools. Regulatory frameworks must also evolve to accommodate the rapid advancements in AI-driven drug development, ensuring that new therapies are both safe and effective.</w:t>
      </w:r>
    </w:p>
    <w:p>
      <w:pPr>
        <w:rPr>
          <w:rFonts w:hint="default" w:ascii="Times New Roman" w:hAnsi="Times New Roman" w:eastAsia="宋体" w:cs="Times New Roman"/>
          <w:sz w:val="21"/>
          <w:szCs w:val="21"/>
          <w:lang w:val="en-CA"/>
        </w:rPr>
      </w:pPr>
    </w:p>
    <w:p>
      <w:pPr>
        <w:rPr>
          <w:rFonts w:hint="default" w:ascii="Times New Roman" w:hAnsi="Times New Roman" w:eastAsia="宋体" w:cs="Times New Roman"/>
          <w:sz w:val="21"/>
          <w:szCs w:val="21"/>
          <w:lang w:val="en-CA"/>
        </w:rPr>
      </w:pPr>
      <w:r>
        <w:rPr>
          <w:rFonts w:hint="default" w:ascii="Times New Roman" w:hAnsi="Times New Roman" w:eastAsia="宋体" w:cs="Times New Roman"/>
          <w:sz w:val="21"/>
          <w:szCs w:val="21"/>
          <w:lang w:val="en-CA"/>
        </w:rPr>
        <w:t>In conclusion, the advent of AI technologies like AlphaFold represents a paradigm shift in medicine design and development. By leveraging AI's predictive power and combining it with rigorous experimental validation, we can accelerate the discovery of new therapeutics and bring life-saving treatments to patients faster than ever before. The future of medicine lies in this collaborative, interdisciplinary approach, where the strengths of AI and experimental science converge to drive innovation and improve human health.</w:t>
      </w:r>
    </w:p>
    <w:p>
      <w:pPr>
        <w:rPr>
          <w:rFonts w:hint="default" w:ascii="Times New Roman" w:hAnsi="Times New Roman" w:eastAsia="宋体" w:cs="Times New Roman"/>
          <w:lang w:val="en-CA"/>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Conflict of Interest Disclosure</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color w:val="2F5597" w:themeColor="accent1" w:themeShade="BF"/>
          <w:sz w:val="21"/>
          <w:szCs w:val="21"/>
        </w:rPr>
      </w:pPr>
      <w:r>
        <w:rPr>
          <w:rFonts w:hint="default" w:ascii="Times New Roman" w:hAnsi="Times New Roman" w:eastAsia="宋体" w:cs="Times New Roman"/>
          <w:color w:val="auto"/>
          <w:sz w:val="21"/>
          <w:szCs w:val="21"/>
        </w:rPr>
        <w:t>The authors affirm that this research was conducted without any commercial or financial relationships that could be construed as a potential conflict of interest.</w:t>
      </w:r>
    </w:p>
    <w:p>
      <w:pPr>
        <w:rPr>
          <w:rFonts w:hint="default" w:ascii="Times New Roman" w:hAnsi="Times New Roman" w:eastAsia="宋体" w:cs="Times New Roman"/>
          <w:lang w:val="en-CA"/>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lang w:val="en-CA"/>
        </w:rPr>
      </w:pPr>
      <w:r>
        <w:rPr>
          <w:rFonts w:hint="default" w:ascii="Times New Roman" w:hAnsi="Times New Roman" w:eastAsia="宋体" w:cs="Times New Roman"/>
          <w:b/>
          <w:bCs/>
          <w:lang w:val="en-CA"/>
        </w:rPr>
        <w:t>References</w:t>
      </w:r>
    </w:p>
    <w:p>
      <w:pPr>
        <w:keepNext w:val="0"/>
        <w:keepLines w:val="0"/>
        <w:pageBreakBefore w:val="0"/>
        <w:widowControl w:val="0"/>
        <w:kinsoku/>
        <w:wordWrap/>
        <w:overflowPunct/>
        <w:topLinePunct w:val="0"/>
        <w:autoSpaceDE/>
        <w:autoSpaceDN/>
        <w:bidi w:val="0"/>
        <w:adjustRightInd/>
        <w:snapToGrid/>
        <w:spacing w:line="240" w:lineRule="auto"/>
        <w:ind w:left="360" w:hanging="360" w:hangingChars="200"/>
        <w:textAlignment w:val="auto"/>
        <w:rPr>
          <w:rFonts w:hint="default" w:ascii="Times New Roman" w:hAnsi="Times New Roman" w:eastAsia="宋体" w:cs="Times New Roman"/>
          <w:sz w:val="18"/>
          <w:szCs w:val="18"/>
          <w:lang w:val="en-CA"/>
        </w:rPr>
      </w:pPr>
      <w:r>
        <w:rPr>
          <w:rFonts w:hint="default" w:ascii="Times New Roman" w:hAnsi="Times New Roman" w:eastAsia="宋体" w:cs="Times New Roman"/>
          <w:sz w:val="18"/>
          <w:szCs w:val="18"/>
          <w:lang w:val="en-CA"/>
        </w:rPr>
        <w:t>Abramson J., Adle, J., Dunger J.</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Evans</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R</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Green</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T</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Pritzel</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A</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Ronneberger</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O</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Willmore</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L</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Ballard A</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J., Bambrick</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J</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Bodenstein</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S</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W., Evans</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D</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A., Hung</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C</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C</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Neill</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M</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O</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Reiman</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D</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Tunyasuvunakool</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K</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Wu Z</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Žemgulytė A</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Arvaniti</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E</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Beattie C</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Bertolli O</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Bridgland A</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Cherepanov</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A</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Congreve M</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Cowen-Rivers A</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I., Cowie</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A</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Figurnov</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M</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Fuchs</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F</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B., Gladman</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H</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Jain</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R</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Khan Y</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A., Low</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C</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M.R., Perlin</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K</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Potapenko</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A</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Savy P</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Singh</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S</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Stecula A</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Thillaisundaram</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A</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Tong C</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Yakneen</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S</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Zhong E</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D., Zielinski</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M</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Žídek A</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Bapst</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V</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Kohli P</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Jaderberg</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M</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Hassabis D</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w:t>
      </w:r>
      <w:r>
        <w:rPr>
          <w:rFonts w:hint="eastAsia" w:ascii="Times New Roman" w:hAnsi="Times New Roman" w:eastAsia="宋体" w:cs="Times New Roman"/>
          <w:sz w:val="18"/>
          <w:szCs w:val="18"/>
          <w:lang w:val="en-US" w:eastAsia="zh-CN"/>
        </w:rPr>
        <w:t>and</w:t>
      </w:r>
      <w:r>
        <w:rPr>
          <w:rFonts w:hint="default" w:ascii="Times New Roman" w:hAnsi="Times New Roman" w:eastAsia="宋体" w:cs="Times New Roman"/>
          <w:sz w:val="18"/>
          <w:szCs w:val="18"/>
          <w:lang w:val="en-CA"/>
        </w:rPr>
        <w:t xml:space="preserve"> Jumper</w:t>
      </w:r>
      <w:r>
        <w:rPr>
          <w:rFonts w:hint="eastAsia"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lang w:val="en-CA"/>
        </w:rPr>
        <w:t>J</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M.</w:t>
      </w:r>
      <w:r>
        <w:rPr>
          <w:rFonts w:hint="eastAsia" w:ascii="Times New Roman" w:hAnsi="Times New Roman" w:eastAsia="宋体" w:cs="Times New Roman"/>
          <w:sz w:val="18"/>
          <w:szCs w:val="18"/>
          <w:lang w:val="en-US" w:eastAsia="zh-CN"/>
        </w:rPr>
        <w:t>,</w:t>
      </w:r>
      <w:r>
        <w:rPr>
          <w:rFonts w:hint="default" w:ascii="Times New Roman" w:hAnsi="Times New Roman" w:eastAsia="宋体" w:cs="Times New Roman"/>
          <w:sz w:val="18"/>
          <w:szCs w:val="18"/>
          <w:lang w:val="en-CA"/>
        </w:rPr>
        <w:t xml:space="preserve"> Accurate structure prediction of biomolecular interactions with AlphaFold 3. Nature (2024). </w:t>
      </w:r>
    </w:p>
    <w:p>
      <w:pPr>
        <w:keepNext w:val="0"/>
        <w:keepLines w:val="0"/>
        <w:pageBreakBefore w:val="0"/>
        <w:widowControl w:val="0"/>
        <w:kinsoku/>
        <w:wordWrap/>
        <w:overflowPunct/>
        <w:topLinePunct w:val="0"/>
        <w:autoSpaceDE/>
        <w:autoSpaceDN/>
        <w:bidi w:val="0"/>
        <w:adjustRightInd/>
        <w:snapToGrid/>
        <w:spacing w:line="240" w:lineRule="auto"/>
        <w:ind w:left="360" w:hanging="360" w:hangingChars="200"/>
        <w:textAlignment w:val="auto"/>
        <w:rPr>
          <w:rFonts w:hint="default" w:ascii="Times New Roman" w:hAnsi="Times New Roman" w:eastAsia="宋体" w:cs="Times New Roman"/>
          <w:sz w:val="18"/>
          <w:szCs w:val="18"/>
          <w:lang w:val="en-CA"/>
        </w:rPr>
      </w:pPr>
      <w:r>
        <w:rPr>
          <w:rFonts w:hint="default" w:ascii="Times New Roman" w:hAnsi="Times New Roman" w:eastAsia="宋体" w:cs="Times New Roman"/>
          <w:sz w:val="18"/>
          <w:szCs w:val="18"/>
          <w:lang w:val="en-CA"/>
        </w:rPr>
        <w:fldChar w:fldCharType="begin"/>
      </w:r>
      <w:r>
        <w:rPr>
          <w:rFonts w:hint="default" w:ascii="Times New Roman" w:hAnsi="Times New Roman" w:eastAsia="宋体" w:cs="Times New Roman"/>
          <w:sz w:val="18"/>
          <w:szCs w:val="18"/>
          <w:lang w:val="en-CA"/>
        </w:rPr>
        <w:instrText xml:space="preserve"> HYPERLINK "https://doi.org/10.1038/s41586-024-07487-w" </w:instrText>
      </w:r>
      <w:r>
        <w:rPr>
          <w:rFonts w:hint="default" w:ascii="Times New Roman" w:hAnsi="Times New Roman" w:eastAsia="宋体" w:cs="Times New Roman"/>
          <w:sz w:val="18"/>
          <w:szCs w:val="18"/>
          <w:lang w:val="en-CA"/>
        </w:rPr>
        <w:fldChar w:fldCharType="separate"/>
      </w:r>
      <w:r>
        <w:rPr>
          <w:rStyle w:val="18"/>
          <w:rFonts w:hint="default" w:ascii="Times New Roman" w:hAnsi="Times New Roman" w:eastAsia="宋体" w:cs="Times New Roman"/>
          <w:sz w:val="18"/>
          <w:szCs w:val="18"/>
          <w:lang w:val="en-CA"/>
        </w:rPr>
        <w:t>https://doi.org/10.1038/s41586-024-07487-w</w:t>
      </w:r>
      <w:r>
        <w:rPr>
          <w:rFonts w:hint="default" w:ascii="Times New Roman" w:hAnsi="Times New Roman" w:eastAsia="宋体" w:cs="Times New Roman"/>
          <w:sz w:val="18"/>
          <w:szCs w:val="18"/>
          <w:lang w:val="en-CA"/>
        </w:rPr>
        <w:fldChar w:fldCharType="end"/>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lang w:val="en-CA"/>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Bold" w:hAnsi="Times New Roman Bold" w:cs="Times New Roman Bold"/>
          <w:b/>
          <w:bCs/>
          <w:sz w:val="24"/>
          <w:szCs w:val="24"/>
        </w:rPr>
      </w:pPr>
      <w:r>
        <w:rPr>
          <w:rFonts w:hint="default" w:ascii="Times New Roman Bold" w:hAnsi="Times New Roman Bold" w:cs="Times New Roman Bold"/>
          <w:b/>
          <w:bCs/>
          <w:sz w:val="24"/>
          <w:szCs w:val="24"/>
        </w:rPr>
        <w:t>Disclaimer/Publisher's Note</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The statements, opinions, and data contained in all publications are solely those of the individual authors and contributors and do not represent the views of the publishing house and/or its editors. The publisher and/or its editors disclaim all responsibility for any harm or damage to persons or property that may result from the application of ideas, methods, instructions, or products discussed in the content. Publisher remains neutral with regard to jurisdictional claims in published maps and institutional affiliations.</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lang w:val="en-CA"/>
        </w:rPr>
      </w:pPr>
      <w:bookmarkStart w:id="0" w:name="_GoBack"/>
      <w:bookmarkEnd w:id="0"/>
    </w:p>
    <w:sectPr>
      <w:pgSz w:w="12240" w:h="15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 New Roman Bold">
    <w:altName w:val="Times New Roman"/>
    <w:panose1 w:val="02020603050405020304"/>
    <w:charset w:val="00"/>
    <w:family w:val="auto"/>
    <w:pitch w:val="default"/>
    <w:sig w:usb0="00000000" w:usb1="00000000" w:usb2="00000009" w:usb3="00000000" w:csb0="400001FF" w:csb1="FFFF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YTE1NzJmMzU3NDgwMmZiOGY2Njg3NjMzNTU5YjAifQ=="/>
  </w:docVars>
  <w:rsids>
    <w:rsidRoot w:val="004C0FC9"/>
    <w:rsid w:val="00261932"/>
    <w:rsid w:val="002B2E6A"/>
    <w:rsid w:val="004C0FC9"/>
    <w:rsid w:val="005D19E6"/>
    <w:rsid w:val="00666546"/>
    <w:rsid w:val="00876EAB"/>
    <w:rsid w:val="0093600D"/>
    <w:rsid w:val="00A4765C"/>
    <w:rsid w:val="00A70F70"/>
    <w:rsid w:val="00B54D8B"/>
    <w:rsid w:val="00BD4445"/>
    <w:rsid w:val="00CE6D4A"/>
    <w:rsid w:val="00D11693"/>
    <w:rsid w:val="00E1122C"/>
    <w:rsid w:val="00ED4EBD"/>
    <w:rsid w:val="01BF1B1D"/>
    <w:rsid w:val="5DEE5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0"/>
    <w:autoRedefine/>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1"/>
    <w:autoRedefine/>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2"/>
    <w:autoRedefine/>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2F5597" w:themeColor="accent1" w:themeShade="BF"/>
    </w:rPr>
  </w:style>
  <w:style w:type="paragraph" w:styleId="7">
    <w:name w:val="heading 6"/>
    <w:basedOn w:val="1"/>
    <w:next w:val="1"/>
    <w:link w:val="24"/>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5"/>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9"/>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rPr>
  </w:style>
  <w:style w:type="paragraph" w:styleId="13">
    <w:name w:val="Title"/>
    <w:basedOn w:val="1"/>
    <w:next w:val="1"/>
    <w:link w:val="28"/>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autoRedefine/>
    <w:qFormat/>
    <w:uiPriority w:val="22"/>
    <w:rPr>
      <w:b/>
      <w:bCs/>
    </w:rPr>
  </w:style>
  <w:style w:type="character" w:styleId="17">
    <w:name w:val="Emphasis"/>
    <w:basedOn w:val="15"/>
    <w:autoRedefine/>
    <w:qFormat/>
    <w:uiPriority w:val="20"/>
    <w:rPr>
      <w:i/>
      <w:iCs/>
    </w:rPr>
  </w:style>
  <w:style w:type="character" w:styleId="18">
    <w:name w:val="Hyperlink"/>
    <w:basedOn w:val="15"/>
    <w:semiHidden/>
    <w:unhideWhenUsed/>
    <w:uiPriority w:val="99"/>
    <w:rPr>
      <w:color w:val="0000FF"/>
      <w:u w:val="single"/>
    </w:rPr>
  </w:style>
  <w:style w:type="character" w:customStyle="1" w:styleId="19">
    <w:name w:val="标题 1 字符"/>
    <w:basedOn w:val="15"/>
    <w:link w:val="2"/>
    <w:uiPriority w:val="9"/>
    <w:rPr>
      <w:rFonts w:asciiTheme="majorHAnsi" w:hAnsiTheme="majorHAnsi" w:eastAsiaTheme="majorEastAsia" w:cstheme="majorBidi"/>
      <w:color w:val="2F5597" w:themeColor="accent1" w:themeShade="BF"/>
      <w:sz w:val="48"/>
      <w:szCs w:val="48"/>
    </w:rPr>
  </w:style>
  <w:style w:type="character" w:customStyle="1" w:styleId="20">
    <w:name w:val="标题 2 字符"/>
    <w:basedOn w:val="15"/>
    <w:link w:val="3"/>
    <w:semiHidden/>
    <w:uiPriority w:val="9"/>
    <w:rPr>
      <w:rFonts w:asciiTheme="majorHAnsi" w:hAnsiTheme="majorHAnsi" w:eastAsiaTheme="majorEastAsia" w:cstheme="majorBidi"/>
      <w:color w:val="2F5597" w:themeColor="accent1" w:themeShade="BF"/>
      <w:sz w:val="40"/>
      <w:szCs w:val="40"/>
    </w:rPr>
  </w:style>
  <w:style w:type="character" w:customStyle="1" w:styleId="21">
    <w:name w:val="标题 3 字符"/>
    <w:basedOn w:val="15"/>
    <w:link w:val="4"/>
    <w:semiHidden/>
    <w:uiPriority w:val="9"/>
    <w:rPr>
      <w:rFonts w:asciiTheme="majorHAnsi" w:hAnsiTheme="majorHAnsi" w:eastAsiaTheme="majorEastAsia" w:cstheme="majorBidi"/>
      <w:color w:val="2F5597" w:themeColor="accent1" w:themeShade="BF"/>
      <w:sz w:val="32"/>
      <w:szCs w:val="32"/>
    </w:rPr>
  </w:style>
  <w:style w:type="character" w:customStyle="1" w:styleId="22">
    <w:name w:val="标题 4 字符"/>
    <w:basedOn w:val="15"/>
    <w:link w:val="5"/>
    <w:semiHidden/>
    <w:uiPriority w:val="9"/>
    <w:rPr>
      <w:rFonts w:cstheme="majorBidi"/>
      <w:color w:val="2F5597" w:themeColor="accent1" w:themeShade="BF"/>
      <w:sz w:val="28"/>
      <w:szCs w:val="28"/>
    </w:rPr>
  </w:style>
  <w:style w:type="character" w:customStyle="1" w:styleId="23">
    <w:name w:val="标题 5 字符"/>
    <w:basedOn w:val="15"/>
    <w:link w:val="6"/>
    <w:semiHidden/>
    <w:uiPriority w:val="9"/>
    <w:rPr>
      <w:rFonts w:cstheme="majorBidi"/>
      <w:color w:val="2F5597" w:themeColor="accent1" w:themeShade="BF"/>
    </w:rPr>
  </w:style>
  <w:style w:type="character" w:customStyle="1" w:styleId="24">
    <w:name w:val="标题 6 字符"/>
    <w:basedOn w:val="15"/>
    <w:link w:val="7"/>
    <w:autoRedefine/>
    <w:semiHidden/>
    <w:qFormat/>
    <w:uiPriority w:val="9"/>
    <w:rPr>
      <w:rFonts w:cstheme="majorBidi"/>
      <w:b/>
      <w:bCs/>
      <w:color w:val="2F5597" w:themeColor="accent1" w:themeShade="BF"/>
    </w:rPr>
  </w:style>
  <w:style w:type="character" w:customStyle="1" w:styleId="25">
    <w:name w:val="标题 7 字符"/>
    <w:basedOn w:val="15"/>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标题 8 字符"/>
    <w:basedOn w:val="15"/>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标题 9 字符"/>
    <w:basedOn w:val="15"/>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标题 字符"/>
    <w:basedOn w:val="15"/>
    <w:link w:val="13"/>
    <w:autoRedefine/>
    <w:qFormat/>
    <w:uiPriority w:val="10"/>
    <w:rPr>
      <w:rFonts w:asciiTheme="majorHAnsi" w:hAnsiTheme="majorHAnsi" w:eastAsiaTheme="majorEastAsia" w:cstheme="majorBidi"/>
      <w:spacing w:val="-10"/>
      <w:kern w:val="28"/>
      <w:sz w:val="56"/>
      <w:szCs w:val="56"/>
    </w:rPr>
  </w:style>
  <w:style w:type="character" w:customStyle="1" w:styleId="29">
    <w:name w:val="副标题 字符"/>
    <w:basedOn w:val="15"/>
    <w:link w:val="11"/>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引用 字符"/>
    <w:basedOn w:val="15"/>
    <w:link w:val="30"/>
    <w:autoRedefine/>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autoRedefine/>
    <w:qFormat/>
    <w:uiPriority w:val="34"/>
    <w:pPr>
      <w:ind w:left="720"/>
      <w:contextualSpacing/>
    </w:pPr>
  </w:style>
  <w:style w:type="character" w:customStyle="1" w:styleId="33">
    <w:name w:val="Intense Emphasis"/>
    <w:basedOn w:val="15"/>
    <w:autoRedefine/>
    <w:qFormat/>
    <w:uiPriority w:val="21"/>
    <w:rPr>
      <w:i/>
      <w:iCs/>
      <w:color w:val="2F5597" w:themeColor="accent1" w:themeShade="BF"/>
    </w:rPr>
  </w:style>
  <w:style w:type="paragraph" w:styleId="34">
    <w:name w:val="Intense Quote"/>
    <w:basedOn w:val="1"/>
    <w:next w:val="1"/>
    <w:link w:val="35"/>
    <w:autoRedefine/>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明显引用 字符"/>
    <w:basedOn w:val="15"/>
    <w:link w:val="34"/>
    <w:autoRedefine/>
    <w:qFormat/>
    <w:uiPriority w:val="30"/>
    <w:rPr>
      <w:i/>
      <w:iCs/>
      <w:color w:val="2F5597" w:themeColor="accent1" w:themeShade="BF"/>
    </w:rPr>
  </w:style>
  <w:style w:type="character" w:customStyle="1" w:styleId="36">
    <w:name w:val="Intense Reference"/>
    <w:basedOn w:val="15"/>
    <w:autoRedefine/>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4</Pages>
  <Words>1178</Words>
  <Characters>6715</Characters>
  <Lines>55</Lines>
  <Paragraphs>15</Paragraphs>
  <TotalTime>0</TotalTime>
  <ScaleCrop>false</ScaleCrop>
  <LinksUpToDate>false</LinksUpToDate>
  <CharactersWithSpaces>7878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2024-05-27T01:50:00Z</dcterms:created>
  <dc:creator>James X. J. Fang</dc:creator>
  <cp:lastModifiedBy>王维Anita</cp:lastModifiedBy>
  <dcterms:modified xsi:type="dcterms:W3CDTF">2024-05-27T07:33:23Z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23A3E9EAFB174C459ACDB28FF203A99A_12</vt:lpwstr>
  </property>
</Properties>
</file>